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97B6C" w14:textId="1992AA53" w:rsidR="00CE0C66" w:rsidRPr="00F4082A" w:rsidRDefault="00223B80" w:rsidP="00CE0C66">
      <w:pPr>
        <w:rPr>
          <w:rFonts w:ascii="Calibri" w:hAnsi="Calibri" w:cs="Calibri"/>
          <w:b/>
          <w:bCs/>
        </w:rPr>
      </w:pPr>
      <w:r w:rsidRPr="00F4082A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7843362" wp14:editId="3509B34F">
            <wp:simplePos x="0" y="0"/>
            <wp:positionH relativeFrom="margin">
              <wp:posOffset>2171065</wp:posOffset>
            </wp:positionH>
            <wp:positionV relativeFrom="margin">
              <wp:posOffset>-349397</wp:posOffset>
            </wp:positionV>
            <wp:extent cx="1347470" cy="1305560"/>
            <wp:effectExtent l="0" t="0" r="0" b="2540"/>
            <wp:wrapSquare wrapText="bothSides"/>
            <wp:docPr id="1982173530" name="Graf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73530" name="Grafika 1982173530"/>
                    <pic:cNvPicPr/>
                  </pic:nvPicPr>
                  <pic:blipFill>
                    <a:blip r:embed="rId7">
                      <a:alphaModFix amt="51000"/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br/>
      </w:r>
      <w:r w:rsidRPr="00F4082A">
        <w:rPr>
          <w:rFonts w:ascii="Calibri" w:hAnsi="Calibri" w:cs="Calibri"/>
          <w:b/>
          <w:bCs/>
        </w:rPr>
        <w:br/>
      </w:r>
      <w:r w:rsidRPr="00F4082A">
        <w:rPr>
          <w:rFonts w:ascii="Calibri" w:hAnsi="Calibri" w:cs="Calibri"/>
          <w:b/>
          <w:bCs/>
        </w:rPr>
        <w:br/>
      </w:r>
      <w:r w:rsidR="00CE0C66" w:rsidRPr="00F4082A">
        <w:rPr>
          <w:rFonts w:ascii="Calibri" w:hAnsi="Calibri" w:cs="Calibri"/>
          <w:b/>
          <w:bCs/>
        </w:rPr>
        <w:t>Chmaj i Partnerzy – Ekspercka Obsługa Prawna dla Biznesu i Instytucji</w:t>
      </w:r>
    </w:p>
    <w:p w14:paraId="1BD0AB6A" w14:textId="77777777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Chmaj i Partnerzy to renomowana kancelaria prawna, której zespół tworzą doświadczeni radcowie prawni, adwokaci i aplikanci, a także uznani eksperci – profesorowie i doktorzy habilitowani nauk prawnych. Nasza działalność opiera się na połączeniu wiedzy akademickiej z wieloletnim doświadczeniem praktycznym, co pozwala nam świadczyć kompleksową i skuteczną pomoc prawną.</w:t>
      </w:r>
    </w:p>
    <w:p w14:paraId="2F4CB86E" w14:textId="77777777" w:rsidR="00CE0C66" w:rsidRPr="00F4082A" w:rsidRDefault="00CE0C66" w:rsidP="00223B80">
      <w:pPr>
        <w:jc w:val="both"/>
        <w:rPr>
          <w:rFonts w:ascii="Calibri" w:hAnsi="Calibri" w:cs="Calibri"/>
        </w:rPr>
      </w:pPr>
    </w:p>
    <w:p w14:paraId="2D4C3345" w14:textId="77777777" w:rsidR="00CE0C66" w:rsidRPr="00F4082A" w:rsidRDefault="00CE0C66" w:rsidP="00223B80">
      <w:pPr>
        <w:jc w:val="both"/>
        <w:rPr>
          <w:rFonts w:ascii="Calibri" w:hAnsi="Calibri" w:cs="Calibri"/>
          <w:b/>
          <w:bCs/>
        </w:rPr>
      </w:pPr>
      <w:r w:rsidRPr="00F4082A">
        <w:rPr>
          <w:rFonts w:ascii="Calibri" w:hAnsi="Calibri" w:cs="Calibri"/>
          <w:b/>
          <w:bCs/>
        </w:rPr>
        <w:t>Nasza filozofia</w:t>
      </w:r>
    </w:p>
    <w:p w14:paraId="5F57B9B4" w14:textId="77777777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„W Chmaj i Partnerzy świadczymy doradztwo prawne z najwyższą starannością, wręcz z wirtuozerią. Naszych Klientów interesują artyści prawa, a nie zwykli rzemieślnicy”</w:t>
      </w:r>
    </w:p>
    <w:p w14:paraId="437C0DD9" w14:textId="77777777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— prof. Marek Chmaj, wspólnik zarządzający</w:t>
      </w:r>
    </w:p>
    <w:p w14:paraId="092C2769" w14:textId="77777777" w:rsidR="00CE0C66" w:rsidRPr="00F4082A" w:rsidRDefault="00CE0C66" w:rsidP="00223B80">
      <w:pPr>
        <w:jc w:val="both"/>
        <w:rPr>
          <w:rFonts w:ascii="Calibri" w:hAnsi="Calibri" w:cs="Calibri"/>
        </w:rPr>
      </w:pPr>
    </w:p>
    <w:p w14:paraId="7DF097FF" w14:textId="77777777" w:rsidR="00CE0C66" w:rsidRPr="00F4082A" w:rsidRDefault="00CE0C66" w:rsidP="00223B80">
      <w:pPr>
        <w:jc w:val="both"/>
        <w:rPr>
          <w:rFonts w:ascii="Calibri" w:hAnsi="Calibri" w:cs="Calibri"/>
          <w:b/>
          <w:bCs/>
        </w:rPr>
      </w:pPr>
      <w:r w:rsidRPr="00F4082A">
        <w:rPr>
          <w:rFonts w:ascii="Calibri" w:hAnsi="Calibri" w:cs="Calibri"/>
          <w:b/>
          <w:bCs/>
        </w:rPr>
        <w:t>Jesteśmy kreatywni!</w:t>
      </w:r>
    </w:p>
    <w:p w14:paraId="3DE5DC9E" w14:textId="11350918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Naszym standardem jest wskazanie Klientowi konkretnych wytycznych i rozwiązań, które pozwalają mu skutecznie osiągać cele. Nie myślimy odtwórczo i schematycznie – jeżeli na drodze do rozwiązania sprawy pojawiają się nieusuwalne przeszkody, to staramy się wytyczyć nową drogę i zmienić niekorzystny stan rzeczy. Rozwiązujemy problemy!</w:t>
      </w:r>
    </w:p>
    <w:p w14:paraId="51A17B7B" w14:textId="3AAAA4C0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Wierzymy, że w dzisiejszych czasach można być albo częścią problemu, albo częścią rozwiązania. Dlatego łączymy ludzi, podmioty i organizacje, aby wspólnie budować skuteczne strategie prawne i biznesowe. Nasza działalność obejmuje cały kraj, a często wykracza poza jego granice.</w:t>
      </w:r>
    </w:p>
    <w:p w14:paraId="0F0A6C99" w14:textId="77777777" w:rsidR="00CE0C66" w:rsidRPr="00F4082A" w:rsidRDefault="00CE0C66" w:rsidP="00223B80">
      <w:pPr>
        <w:jc w:val="both"/>
        <w:rPr>
          <w:rFonts w:ascii="Calibri" w:hAnsi="Calibri" w:cs="Calibri"/>
        </w:rPr>
      </w:pPr>
    </w:p>
    <w:p w14:paraId="3B0B08AF" w14:textId="77777777" w:rsidR="00CE0C66" w:rsidRPr="00F4082A" w:rsidRDefault="00CE0C66" w:rsidP="00223B80">
      <w:pPr>
        <w:jc w:val="both"/>
        <w:rPr>
          <w:rFonts w:ascii="Calibri" w:hAnsi="Calibri" w:cs="Calibri"/>
          <w:b/>
          <w:bCs/>
        </w:rPr>
      </w:pPr>
      <w:r w:rsidRPr="00F4082A">
        <w:rPr>
          <w:rFonts w:ascii="Calibri" w:hAnsi="Calibri" w:cs="Calibri"/>
          <w:b/>
          <w:bCs/>
        </w:rPr>
        <w:t>Zakres specjalizacji</w:t>
      </w:r>
    </w:p>
    <w:p w14:paraId="3A258C0C" w14:textId="38E9CAD2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Świadczymy usługi doradcze i procesowe w szerokim zakresie dziedzin prawa, w tym:</w:t>
      </w:r>
    </w:p>
    <w:p w14:paraId="4D7A7FA6" w14:textId="6881220E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korporacyjne, fuzje i przejęcia (M&amp;A), doradztwo transakcyjne – kompleksowa obsługa spółek, zarządów i menedżerów, due diligence oraz compliance.</w:t>
      </w:r>
    </w:p>
    <w:p w14:paraId="6F7FF498" w14:textId="3D04517F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Spory sądowe i arbitrażowe – reprezentacja w postępowaniach sądowych i arbitrażowych, w tym w sprawach o ochronę dóbr osobistych.</w:t>
      </w:r>
    </w:p>
    <w:p w14:paraId="1AD75DA3" w14:textId="69B749E1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lastRenderedPageBreak/>
        <w:t>Prawo administracyjne i konstytucyjne – wsparcie w zakresie regulacji publicznych, kontroli i procedur administracyjnych.</w:t>
      </w:r>
    </w:p>
    <w:p w14:paraId="532FF7C7" w14:textId="379A274A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energetyczne – doradztwo w zakresie regulacji, inwestycji i projektów w sektorze energetycznym.</w:t>
      </w:r>
    </w:p>
    <w:p w14:paraId="724164A8" w14:textId="2FE20099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Nieruchomości – obsługa prawna inwestycji deweloperskich, transakcji i sporów związanych z nieruchomościami.</w:t>
      </w:r>
    </w:p>
    <w:p w14:paraId="51BF794A" w14:textId="0C3DC8B3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konkurencji i konsumenckie – ochrona interesów przedsiębiorców, compliance oraz postępowania przed UOKiK.</w:t>
      </w:r>
    </w:p>
    <w:p w14:paraId="399CFA41" w14:textId="394929B5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ESG (Environmental, Social, Governance) – doradztwo w zakresie regulacji dotyczących zrównoważonego rozwoju.</w:t>
      </w:r>
    </w:p>
    <w:p w14:paraId="56395871" w14:textId="46D1E4D0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pracy – kompleksowa obsługa pracodawców, w tym w branży beauty.</w:t>
      </w:r>
    </w:p>
    <w:p w14:paraId="7102D62B" w14:textId="7D43D427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mediów i własności intelektualnej – ochrona wizerunku, znaków towarowych, praw autorskich.</w:t>
      </w:r>
    </w:p>
    <w:p w14:paraId="14DF17C6" w14:textId="2E2EDF25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medyczne i farmaceutyczne – wsparcie dla placówek medycznych, firm farmaceutycznych i pacjentów.</w:t>
      </w:r>
    </w:p>
    <w:p w14:paraId="4D9FCCD6" w14:textId="57335566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rodzinne – obsługa spraw rozwodowych, majątkowych i opiekuńczych.</w:t>
      </w:r>
    </w:p>
    <w:p w14:paraId="068219A5" w14:textId="6760046B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Bankowość i finanse, rynki kapitałowe – doradztwo prawne dla instytucji finansowych i funduszy inwestycyjnych.</w:t>
      </w:r>
    </w:p>
    <w:p w14:paraId="481E71A2" w14:textId="699658F5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Prawo karne gospodarcze, White Collar Crime, prawo karne skarbowe – obrona w sprawach dotyczących przestępstw gospodarczych i podatkowych, kontrole celno-skarbowe.</w:t>
      </w:r>
    </w:p>
    <w:p w14:paraId="52FA3183" w14:textId="47DF91E9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Postępowania upadłościowe i restrukturyzacyjne – pomoc w procesach naprawczych i restrukturyzacji przedsiębiorstw.</w:t>
      </w:r>
    </w:p>
    <w:p w14:paraId="634A4A60" w14:textId="66ED687D" w:rsidR="00CE0C66" w:rsidRPr="00F4082A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Ochrona danych osobowych i prawo nowych technologii – wdrażanie regulacji RODO, compliance IT, fintech i AI.</w:t>
      </w:r>
    </w:p>
    <w:p w14:paraId="34143245" w14:textId="6DC7D153" w:rsidR="00CE0C66" w:rsidRDefault="00CE0C66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Private lawyer</w:t>
      </w:r>
      <w:r w:rsidR="00AD550B">
        <w:rPr>
          <w:rFonts w:ascii="Calibri" w:hAnsi="Calibri" w:cs="Calibri"/>
        </w:rPr>
        <w:t xml:space="preserve"> </w:t>
      </w:r>
      <w:r w:rsidRPr="00F4082A">
        <w:rPr>
          <w:rFonts w:ascii="Calibri" w:hAnsi="Calibri" w:cs="Calibri"/>
        </w:rPr>
        <w:t>– doradztwo dla klientów indywidualnych w zakresie ochrony prawnej, majątku i planowania sukcesji.</w:t>
      </w:r>
    </w:p>
    <w:p w14:paraId="13D8DFC6" w14:textId="2A70EB0F" w:rsidR="00AD550B" w:rsidRDefault="00AD550B" w:rsidP="00223B8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F4082A">
        <w:rPr>
          <w:rFonts w:ascii="Calibri" w:hAnsi="Calibri" w:cs="Calibri"/>
        </w:rPr>
        <w:t>rojekty atypowe</w:t>
      </w:r>
      <w:r>
        <w:rPr>
          <w:rFonts w:ascii="Calibri" w:hAnsi="Calibri" w:cs="Calibri"/>
        </w:rPr>
        <w:t xml:space="preserve"> / interdyscyplinarne – projekty nietypowe, złożone, których charakter wykracza poza ramy standardowych usług doradztwa prawnego, które wymagają koordynacji specjalistów z wielu dziedzin.</w:t>
      </w:r>
    </w:p>
    <w:p w14:paraId="48F65812" w14:textId="77777777" w:rsidR="00AD550B" w:rsidRPr="00AD550B" w:rsidRDefault="00AD550B" w:rsidP="00C97C66">
      <w:pPr>
        <w:pStyle w:val="Akapitzlist"/>
        <w:jc w:val="both"/>
        <w:rPr>
          <w:rFonts w:ascii="Calibri" w:hAnsi="Calibri" w:cs="Calibri"/>
        </w:rPr>
      </w:pPr>
      <w:bookmarkStart w:id="0" w:name="_GoBack"/>
      <w:bookmarkEnd w:id="0"/>
    </w:p>
    <w:p w14:paraId="7FA0BB04" w14:textId="77777777" w:rsidR="00CE0C66" w:rsidRPr="00F4082A" w:rsidRDefault="00CE0C66" w:rsidP="00223B80">
      <w:pPr>
        <w:jc w:val="both"/>
        <w:rPr>
          <w:rFonts w:ascii="Calibri" w:hAnsi="Calibri" w:cs="Calibri"/>
          <w:b/>
          <w:bCs/>
        </w:rPr>
      </w:pPr>
      <w:r w:rsidRPr="00F4082A">
        <w:rPr>
          <w:rFonts w:ascii="Calibri" w:hAnsi="Calibri" w:cs="Calibri"/>
          <w:b/>
          <w:bCs/>
        </w:rPr>
        <w:t>Indywidualne podejście i skuteczność</w:t>
      </w:r>
    </w:p>
    <w:p w14:paraId="54339218" w14:textId="77777777" w:rsidR="00CE0C66" w:rsidRPr="00F4082A" w:rsidRDefault="00CE0C66" w:rsidP="00223B80">
      <w:pPr>
        <w:jc w:val="both"/>
        <w:rPr>
          <w:rFonts w:ascii="Calibri" w:hAnsi="Calibri" w:cs="Calibri"/>
        </w:rPr>
      </w:pPr>
      <w:r w:rsidRPr="00F4082A">
        <w:rPr>
          <w:rFonts w:ascii="Calibri" w:hAnsi="Calibri" w:cs="Calibri"/>
        </w:rPr>
        <w:t>Naszym priorytetem jest dostarczanie strategicznych i niestandardowych rozwiązań dostosowanych do unikalnych potrzeb Klienta. Dzięki dogłębnej analizie organizacji i jej otoczenia prawnego, proponujemy optymalne strategie zarządzania ryzykiem i rozwiązywania sporów, wspierając rozwój i bezpieczeństwo biznesowe naszych Klientów.</w:t>
      </w:r>
    </w:p>
    <w:p w14:paraId="5978967B" w14:textId="77777777" w:rsidR="00CE0C66" w:rsidRPr="00F4082A" w:rsidRDefault="00CE0C66" w:rsidP="00CE0C66">
      <w:pPr>
        <w:rPr>
          <w:rFonts w:ascii="Calibri" w:hAnsi="Calibri" w:cs="Calibri"/>
        </w:rPr>
      </w:pPr>
    </w:p>
    <w:p w14:paraId="41B80C50" w14:textId="0231DEE1" w:rsidR="00CE0C66" w:rsidRPr="00F4082A" w:rsidRDefault="00CE0C66" w:rsidP="00CE0C66">
      <w:pPr>
        <w:rPr>
          <w:rFonts w:ascii="Calibri" w:hAnsi="Calibri" w:cs="Calibri"/>
        </w:rPr>
      </w:pPr>
      <w:r w:rsidRPr="00F4082A">
        <w:rPr>
          <w:rFonts w:ascii="Calibri" w:hAnsi="Calibri" w:cs="Calibri"/>
        </w:rPr>
        <w:t>Zapraszamy do współpracy.</w:t>
      </w:r>
    </w:p>
    <w:sectPr w:rsidR="00CE0C66" w:rsidRPr="00F4082A" w:rsidSect="00CE0C66">
      <w:pgSz w:w="11906" w:h="16838"/>
      <w:pgMar w:top="1417" w:right="1417" w:bottom="1417" w:left="1417" w:header="22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E42DF" w14:textId="77777777" w:rsidR="00464A91" w:rsidRDefault="00464A91" w:rsidP="00CE0C66">
      <w:pPr>
        <w:spacing w:after="0" w:line="240" w:lineRule="auto"/>
      </w:pPr>
      <w:r>
        <w:separator/>
      </w:r>
    </w:p>
  </w:endnote>
  <w:endnote w:type="continuationSeparator" w:id="0">
    <w:p w14:paraId="1952BD62" w14:textId="77777777" w:rsidR="00464A91" w:rsidRDefault="00464A91" w:rsidP="00CE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99650" w14:textId="77777777" w:rsidR="00464A91" w:rsidRDefault="00464A91" w:rsidP="00CE0C66">
      <w:pPr>
        <w:spacing w:after="0" w:line="240" w:lineRule="auto"/>
      </w:pPr>
      <w:r>
        <w:separator/>
      </w:r>
    </w:p>
  </w:footnote>
  <w:footnote w:type="continuationSeparator" w:id="0">
    <w:p w14:paraId="2B22786F" w14:textId="77777777" w:rsidR="00464A91" w:rsidRDefault="00464A91" w:rsidP="00CE0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0A6B6A"/>
    <w:multiLevelType w:val="hybridMultilevel"/>
    <w:tmpl w:val="FDEA9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66"/>
    <w:rsid w:val="00223B80"/>
    <w:rsid w:val="00321BEB"/>
    <w:rsid w:val="00464A91"/>
    <w:rsid w:val="006A717C"/>
    <w:rsid w:val="009112F1"/>
    <w:rsid w:val="00944E6C"/>
    <w:rsid w:val="00AD550B"/>
    <w:rsid w:val="00C97C66"/>
    <w:rsid w:val="00CE0C66"/>
    <w:rsid w:val="00F4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96558"/>
  <w15:chartTrackingRefBased/>
  <w15:docId w15:val="{87B56E0C-B14B-4040-85DE-DE89C8E7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C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C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C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C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C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C6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C66"/>
  </w:style>
  <w:style w:type="paragraph" w:styleId="Stopka">
    <w:name w:val="footer"/>
    <w:basedOn w:val="Normalny"/>
    <w:link w:val="StopkaZnak"/>
    <w:uiPriority w:val="99"/>
    <w:unhideWhenUsed/>
    <w:rsid w:val="00CE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 Jaskulski</dc:creator>
  <cp:keywords/>
  <dc:description/>
  <cp:lastModifiedBy>Michał Paprocki</cp:lastModifiedBy>
  <cp:revision>3</cp:revision>
  <dcterms:created xsi:type="dcterms:W3CDTF">2025-02-28T10:46:00Z</dcterms:created>
  <dcterms:modified xsi:type="dcterms:W3CDTF">2025-02-28T10:47:00Z</dcterms:modified>
</cp:coreProperties>
</file>